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00" w:rsidRDefault="00295F00">
      <w:pPr>
        <w:pStyle w:val="ConsPlusTitle"/>
        <w:jc w:val="center"/>
        <w:outlineLvl w:val="0"/>
      </w:pPr>
      <w:bookmarkStart w:id="0" w:name="P29"/>
      <w:bookmarkEnd w:id="0"/>
      <w:r>
        <w:t>ПОЛОЖЕНИЕ</w:t>
      </w:r>
    </w:p>
    <w:p w:rsidR="00295F00" w:rsidRDefault="00295F00">
      <w:pPr>
        <w:pStyle w:val="ConsPlusTitle"/>
        <w:jc w:val="center"/>
      </w:pPr>
      <w:r>
        <w:t>О ЕДИНОМ НАЛОГЕ НА ВМЕНЕННЫЙ ДОХОД</w:t>
      </w:r>
    </w:p>
    <w:p w:rsidR="00295F00" w:rsidRDefault="00295F00">
      <w:pPr>
        <w:pStyle w:val="ConsPlusTitle"/>
        <w:jc w:val="center"/>
      </w:pPr>
      <w:r>
        <w:t>ДЛЯ ОТДЕЛЬНЫХ ВИДОВ ДЕЯТЕЛЬНОСТИ</w:t>
      </w:r>
    </w:p>
    <w:p w:rsidR="00295F00" w:rsidRDefault="00295F00">
      <w:pPr>
        <w:pStyle w:val="ConsPlusTitle"/>
        <w:jc w:val="center"/>
      </w:pPr>
      <w:r>
        <w:t>В ГОРОДЕ ЛИПЕЦКЕ</w:t>
      </w:r>
    </w:p>
    <w:p w:rsidR="00295F00" w:rsidRDefault="00295F00">
      <w:pPr>
        <w:pStyle w:val="ConsPlusNormal"/>
        <w:jc w:val="center"/>
      </w:pPr>
    </w:p>
    <w:p w:rsidR="00295F00" w:rsidRDefault="00295F00">
      <w:pPr>
        <w:pStyle w:val="ConsPlusNormal"/>
        <w:jc w:val="right"/>
      </w:pPr>
      <w:r>
        <w:t>Принято</w:t>
      </w:r>
    </w:p>
    <w:p w:rsidR="00295F00" w:rsidRDefault="00295F00">
      <w:pPr>
        <w:pStyle w:val="ConsPlusNormal"/>
        <w:jc w:val="right"/>
      </w:pPr>
      <w:r>
        <w:t>Липецким городским Советом депутатов</w:t>
      </w:r>
    </w:p>
    <w:p w:rsidR="00295F00" w:rsidRDefault="00295F00">
      <w:pPr>
        <w:pStyle w:val="ConsPlusNormal"/>
        <w:jc w:val="right"/>
      </w:pPr>
      <w:r>
        <w:t>20 сентября 2005 года</w:t>
      </w:r>
    </w:p>
    <w:p w:rsidR="00295F00" w:rsidRDefault="00295F00">
      <w:pPr>
        <w:spacing w:after="1"/>
      </w:pPr>
    </w:p>
    <w:p w:rsidR="00295F00" w:rsidRDefault="00295F00">
      <w:pPr>
        <w:pStyle w:val="ConsPlusNormal"/>
        <w:jc w:val="center"/>
      </w:pPr>
    </w:p>
    <w:p w:rsidR="00295F00" w:rsidRDefault="00295F00">
      <w:pPr>
        <w:pStyle w:val="ConsPlusNormal"/>
        <w:ind w:firstLine="540"/>
        <w:jc w:val="both"/>
      </w:pPr>
      <w:r>
        <w:t xml:space="preserve">Настоящее Положение в соответствии с </w:t>
      </w:r>
      <w:r w:rsidR="0039752C">
        <w:t>главой 26.3</w:t>
      </w:r>
      <w:r>
        <w:t xml:space="preserve"> "Система налогообложения в виде единого налога на вмененный доход для отдельных видов деятельности" части второй Налогового кодекса Российской Федерации определяет порядок введения единого налога на территории города Липецка; виды предпринимательской деятельности, в отношении которых вводится единый налог; значения корректирующего коэффициента базовой доходности К</w:t>
      </w:r>
      <w:proofErr w:type="gramStart"/>
      <w:r>
        <w:t>2</w:t>
      </w:r>
      <w:proofErr w:type="gramEnd"/>
      <w:r>
        <w:t>.</w:t>
      </w:r>
    </w:p>
    <w:p w:rsidR="00295F00" w:rsidRDefault="00295F00">
      <w:pPr>
        <w:pStyle w:val="ConsPlusNormal"/>
        <w:ind w:firstLine="540"/>
        <w:jc w:val="both"/>
      </w:pPr>
    </w:p>
    <w:p w:rsidR="00295F00" w:rsidRDefault="00295F00">
      <w:pPr>
        <w:pStyle w:val="ConsPlusNormal"/>
        <w:jc w:val="center"/>
        <w:outlineLvl w:val="1"/>
      </w:pPr>
      <w:r>
        <w:t xml:space="preserve">Пункт 1. Порядок введения единого налога </w:t>
      </w:r>
      <w:proofErr w:type="gramStart"/>
      <w:r>
        <w:t>на</w:t>
      </w:r>
      <w:proofErr w:type="gramEnd"/>
      <w:r>
        <w:t xml:space="preserve"> вмененный</w:t>
      </w:r>
    </w:p>
    <w:p w:rsidR="00295F00" w:rsidRDefault="00295F00">
      <w:pPr>
        <w:pStyle w:val="ConsPlusNormal"/>
        <w:jc w:val="center"/>
      </w:pPr>
      <w:r>
        <w:t>доход для отдельных видов деятельности на территории</w:t>
      </w:r>
    </w:p>
    <w:p w:rsidR="00295F00" w:rsidRDefault="00295F00">
      <w:pPr>
        <w:pStyle w:val="ConsPlusNormal"/>
        <w:jc w:val="center"/>
      </w:pPr>
      <w:r>
        <w:t>города Липецка</w:t>
      </w:r>
    </w:p>
    <w:p w:rsidR="00295F00" w:rsidRDefault="00295F00">
      <w:pPr>
        <w:pStyle w:val="ConsPlusNormal"/>
        <w:ind w:firstLine="540"/>
        <w:jc w:val="both"/>
      </w:pPr>
    </w:p>
    <w:p w:rsidR="00295F00" w:rsidRDefault="00295F00">
      <w:pPr>
        <w:pStyle w:val="ConsPlusNormal"/>
        <w:ind w:firstLine="540"/>
        <w:jc w:val="both"/>
      </w:pPr>
      <w:r>
        <w:t>Единый налог на вмененный доход для отдельных видов деятельности (далее - единый налог) обязателен к уплате на территории города Липецка.</w:t>
      </w:r>
    </w:p>
    <w:p w:rsidR="00295F00" w:rsidRDefault="00295F00">
      <w:pPr>
        <w:pStyle w:val="ConsPlusNormal"/>
        <w:ind w:firstLine="540"/>
        <w:jc w:val="both"/>
      </w:pPr>
    </w:p>
    <w:p w:rsidR="00295F00" w:rsidRDefault="00295F00">
      <w:pPr>
        <w:pStyle w:val="ConsPlusNormal"/>
        <w:jc w:val="center"/>
        <w:outlineLvl w:val="1"/>
      </w:pPr>
      <w:r>
        <w:t>Пункт 2. Виды предпринимательской деятельности,</w:t>
      </w:r>
    </w:p>
    <w:p w:rsidR="00295F00" w:rsidRDefault="00295F00">
      <w:pPr>
        <w:pStyle w:val="ConsPlusNormal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вводится единый налог</w:t>
      </w:r>
    </w:p>
    <w:p w:rsidR="00295F00" w:rsidRDefault="00295F00">
      <w:pPr>
        <w:pStyle w:val="ConsPlusNormal"/>
        <w:ind w:firstLine="540"/>
        <w:jc w:val="both"/>
      </w:pPr>
    </w:p>
    <w:p w:rsidR="00295F00" w:rsidRDefault="00295F00">
      <w:pPr>
        <w:pStyle w:val="ConsPlusNormal"/>
        <w:ind w:firstLine="540"/>
        <w:jc w:val="both"/>
      </w:pPr>
      <w:r>
        <w:t>Система налогообложения в виде единого налога применяется в отношении следующих видов предпринимательской деятельности:</w:t>
      </w:r>
    </w:p>
    <w:p w:rsidR="00295F00" w:rsidRDefault="00295F00">
      <w:pPr>
        <w:pStyle w:val="ConsPlusNormal"/>
        <w:spacing w:before="220"/>
        <w:ind w:firstLine="540"/>
        <w:jc w:val="both"/>
      </w:pPr>
      <w:r>
        <w:t xml:space="preserve">1) оказания бытовых услуг их групп, подгрупп, видов и (или) отдельных бытовых услуг, классифицируемых в соответствии с Общероссийским </w:t>
      </w:r>
      <w:r w:rsidR="0039752C">
        <w:t xml:space="preserve">классификатором </w:t>
      </w:r>
      <w:r>
        <w:t>услуг населению;</w:t>
      </w:r>
    </w:p>
    <w:p w:rsidR="00295F00" w:rsidRDefault="00295F00">
      <w:pPr>
        <w:pStyle w:val="ConsPlusNormal"/>
        <w:jc w:val="both"/>
      </w:pPr>
      <w:r>
        <w:t xml:space="preserve">(в ред. </w:t>
      </w:r>
      <w:r w:rsidR="0039752C">
        <w:t>решения</w:t>
      </w:r>
      <w:r>
        <w:t xml:space="preserve"> Липецкого городского Совета депутатов от 18.05.2006 N 328)</w:t>
      </w:r>
    </w:p>
    <w:p w:rsidR="00295F00" w:rsidRDefault="00295F00">
      <w:pPr>
        <w:pStyle w:val="ConsPlusNormal"/>
        <w:spacing w:before="220"/>
        <w:ind w:firstLine="540"/>
        <w:jc w:val="both"/>
      </w:pPr>
      <w:r>
        <w:t>2) оказания ветеринарных услуг;</w:t>
      </w:r>
    </w:p>
    <w:p w:rsidR="00295F00" w:rsidRDefault="00295F00">
      <w:pPr>
        <w:pStyle w:val="ConsPlusNormal"/>
        <w:spacing w:before="220"/>
        <w:ind w:firstLine="540"/>
        <w:jc w:val="both"/>
      </w:pPr>
      <w:r>
        <w:t>3) оказания услуг по ремонту, техническому обслуживанию и мойке автотранспортных средств;</w:t>
      </w:r>
    </w:p>
    <w:p w:rsidR="00295F00" w:rsidRDefault="00295F00">
      <w:pPr>
        <w:pStyle w:val="ConsPlusNormal"/>
        <w:spacing w:before="220"/>
        <w:ind w:firstLine="540"/>
        <w:jc w:val="both"/>
      </w:pPr>
      <w:r>
        <w:t>4)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</w:t>
      </w:r>
    </w:p>
    <w:p w:rsidR="00295F00" w:rsidRDefault="00295F00">
      <w:pPr>
        <w:pStyle w:val="ConsPlusNormal"/>
        <w:spacing w:before="220"/>
        <w:ind w:firstLine="540"/>
        <w:jc w:val="both"/>
      </w:pPr>
      <w:r>
        <w:t>Для целей настоящего Положения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295F00" w:rsidRDefault="00295F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4 в ред.</w:t>
      </w:r>
      <w:r w:rsidR="0039752C">
        <w:t xml:space="preserve"> решения</w:t>
      </w:r>
      <w:r>
        <w:t xml:space="preserve"> Липецкого городского Совета депутатов от 18.05.2006 N 328)</w:t>
      </w:r>
    </w:p>
    <w:p w:rsidR="00295F00" w:rsidRDefault="00295F00">
      <w:pPr>
        <w:pStyle w:val="ConsPlusNormal"/>
        <w:spacing w:before="220"/>
        <w:ind w:firstLine="540"/>
        <w:jc w:val="both"/>
      </w:pPr>
      <w:r>
        <w:t>5)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295F00" w:rsidRDefault="00295F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r w:rsidR="0039752C">
        <w:t>решения</w:t>
      </w:r>
      <w:r>
        <w:t xml:space="preserve"> Липецкого городского Совета депутатов от 31.03.2009 N 1005)</w:t>
      </w:r>
    </w:p>
    <w:p w:rsidR="00295F00" w:rsidRDefault="00295F00">
      <w:pPr>
        <w:pStyle w:val="ConsPlusNormal"/>
        <w:spacing w:before="220"/>
        <w:ind w:firstLine="540"/>
        <w:jc w:val="both"/>
      </w:pPr>
      <w:r>
        <w:t>6)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</w:t>
      </w:r>
    </w:p>
    <w:p w:rsidR="00295F00" w:rsidRDefault="00295F00">
      <w:pPr>
        <w:pStyle w:val="ConsPlusNormal"/>
        <w:jc w:val="both"/>
      </w:pPr>
      <w:r>
        <w:lastRenderedPageBreak/>
        <w:t xml:space="preserve">(в ред. решений Липецкого городского Совета депутатов от 29.11.2007 </w:t>
      </w:r>
      <w:r w:rsidR="0039752C">
        <w:t>№701</w:t>
      </w:r>
      <w:r>
        <w:t xml:space="preserve">, от 31.03.2009 </w:t>
      </w:r>
      <w:r w:rsidR="0039752C">
        <w:t>№1005</w:t>
      </w:r>
      <w:r>
        <w:t>)</w:t>
      </w:r>
    </w:p>
    <w:p w:rsidR="00295F00" w:rsidRDefault="00295F00">
      <w:pPr>
        <w:pStyle w:val="ConsPlusNormal"/>
        <w:spacing w:before="220"/>
        <w:ind w:firstLine="540"/>
        <w:jc w:val="both"/>
      </w:pPr>
      <w:r>
        <w:t>Для целей настоящего Положения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295F00" w:rsidRDefault="00295F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r w:rsidR="0039752C">
        <w:t>решения</w:t>
      </w:r>
      <w:r>
        <w:t xml:space="preserve"> Липецкого городского Совета депутатов от 18.05.2006 N 328)</w:t>
      </w:r>
    </w:p>
    <w:p w:rsidR="00295F00" w:rsidRDefault="00295F00">
      <w:pPr>
        <w:pStyle w:val="ConsPlusNormal"/>
        <w:spacing w:before="220"/>
        <w:ind w:firstLine="540"/>
        <w:jc w:val="both"/>
      </w:pPr>
      <w:r>
        <w:t>7)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295F00" w:rsidRDefault="00295F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r w:rsidR="0039752C">
        <w:t>решения</w:t>
      </w:r>
      <w:r>
        <w:t xml:space="preserve"> Липецкого городского Совета депутатов от 29.11.2005 N 180 (ред. 28.12.2005))</w:t>
      </w:r>
    </w:p>
    <w:p w:rsidR="00295F00" w:rsidRDefault="00295F00">
      <w:pPr>
        <w:pStyle w:val="ConsPlusNormal"/>
        <w:spacing w:before="220"/>
        <w:ind w:firstLine="540"/>
        <w:jc w:val="both"/>
      </w:pPr>
      <w:r>
        <w:t xml:space="preserve">8) исключен. - </w:t>
      </w:r>
      <w:r w:rsidR="0039752C">
        <w:t>Решение</w:t>
      </w:r>
      <w:r>
        <w:t xml:space="preserve"> Липецкого городского Совета депутатов от 29.11.2007 N 701;</w:t>
      </w:r>
    </w:p>
    <w:p w:rsidR="00295F00" w:rsidRDefault="00295F00">
      <w:pPr>
        <w:pStyle w:val="ConsPlusNormal"/>
        <w:spacing w:before="220"/>
        <w:ind w:firstLine="540"/>
        <w:jc w:val="both"/>
      </w:pPr>
      <w:r>
        <w:t>9) розничной торговли, осуществляемой через объекты стационарной торговой сети, не имеющие торговых залов, а также объекты нестационарной торговой сети;</w:t>
      </w:r>
    </w:p>
    <w:p w:rsidR="00295F00" w:rsidRDefault="00295F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</w:t>
      </w:r>
      <w:proofErr w:type="gramStart"/>
      <w:r>
        <w:t>введен</w:t>
      </w:r>
      <w:proofErr w:type="gramEnd"/>
      <w:r>
        <w:t xml:space="preserve"> </w:t>
      </w:r>
      <w:r w:rsidR="0039752C">
        <w:t>решением</w:t>
      </w:r>
      <w:r>
        <w:t xml:space="preserve"> Липецкого городского Совета депутатов от 18.05.2006 N 328, в ред. </w:t>
      </w:r>
      <w:r w:rsidR="0039752C">
        <w:t>решения</w:t>
      </w:r>
      <w:r>
        <w:t xml:space="preserve"> Липецкого городского Совета депутатов от 31.03.2009 N 1005)</w:t>
      </w:r>
    </w:p>
    <w:p w:rsidR="00295F00" w:rsidRDefault="00295F00">
      <w:pPr>
        <w:pStyle w:val="ConsPlusNormal"/>
        <w:spacing w:before="220"/>
        <w:ind w:firstLine="540"/>
        <w:jc w:val="both"/>
      </w:pPr>
      <w:r>
        <w:t>10)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295F00" w:rsidRDefault="00295F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</w:t>
      </w:r>
      <w:proofErr w:type="gramStart"/>
      <w:r>
        <w:t>введен</w:t>
      </w:r>
      <w:proofErr w:type="gramEnd"/>
      <w:r>
        <w:t xml:space="preserve"> </w:t>
      </w:r>
      <w:r w:rsidR="0039752C">
        <w:t>решением</w:t>
      </w:r>
      <w:r>
        <w:t xml:space="preserve"> Липецкого городского Совета депутатов от 18.05.2006 N 328)</w:t>
      </w:r>
    </w:p>
    <w:p w:rsidR="00295F00" w:rsidRDefault="00295F00">
      <w:pPr>
        <w:pStyle w:val="ConsPlusNormal"/>
        <w:spacing w:before="220"/>
        <w:ind w:firstLine="540"/>
        <w:jc w:val="both"/>
      </w:pPr>
      <w:r>
        <w:t>11)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метров.</w:t>
      </w:r>
    </w:p>
    <w:p w:rsidR="00295F00" w:rsidRDefault="00295F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</w:t>
      </w:r>
      <w:proofErr w:type="gramStart"/>
      <w:r>
        <w:t>введен</w:t>
      </w:r>
      <w:proofErr w:type="gramEnd"/>
      <w:r>
        <w:t xml:space="preserve"> </w:t>
      </w:r>
      <w:r w:rsidR="0039752C">
        <w:t>решением</w:t>
      </w:r>
      <w:r>
        <w:t xml:space="preserve"> Липецкого городского Совета депутатов от 18.05.2006 N 328, в ред. </w:t>
      </w:r>
      <w:r w:rsidR="0039752C">
        <w:t>решения</w:t>
      </w:r>
      <w:r>
        <w:t xml:space="preserve"> Липецкого городского Совета депутатов от 29.11.2007 N 701)</w:t>
      </w:r>
    </w:p>
    <w:p w:rsidR="00295F00" w:rsidRDefault="00295F00">
      <w:pPr>
        <w:pStyle w:val="ConsPlusNormal"/>
        <w:spacing w:before="220"/>
        <w:ind w:firstLine="540"/>
        <w:jc w:val="both"/>
      </w:pPr>
      <w:r>
        <w:t>12) распространение наружной рекламы с использованием рекламных конструкций;</w:t>
      </w:r>
    </w:p>
    <w:p w:rsidR="00295F00" w:rsidRDefault="00295F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в ред. </w:t>
      </w:r>
      <w:r w:rsidR="0039752C">
        <w:t>решения</w:t>
      </w:r>
      <w:r>
        <w:t xml:space="preserve"> Липецкого городского Совета депутатов от 31.03.2009 N 1005)</w:t>
      </w:r>
    </w:p>
    <w:p w:rsidR="00295F00" w:rsidRDefault="00295F00">
      <w:pPr>
        <w:pStyle w:val="ConsPlusNormal"/>
        <w:spacing w:before="220"/>
        <w:ind w:firstLine="540"/>
        <w:jc w:val="both"/>
      </w:pPr>
      <w:r>
        <w:t>13) размещения рекламы на транспортных средствах;</w:t>
      </w:r>
    </w:p>
    <w:p w:rsidR="00295F00" w:rsidRDefault="00295F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в ред. </w:t>
      </w:r>
      <w:r w:rsidR="0039752C">
        <w:t>решения</w:t>
      </w:r>
      <w:r>
        <w:t xml:space="preserve"> Липецкого городского Совета депутатов от 31.03.2009 N 1005)</w:t>
      </w:r>
    </w:p>
    <w:p w:rsidR="00295F00" w:rsidRDefault="00295F00">
      <w:pPr>
        <w:pStyle w:val="ConsPlusNormal"/>
        <w:spacing w:before="220"/>
        <w:ind w:firstLine="540"/>
        <w:jc w:val="both"/>
      </w:pPr>
      <w:r>
        <w:t>14)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295F00" w:rsidRDefault="00295F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</w:t>
      </w:r>
      <w:proofErr w:type="gramStart"/>
      <w:r>
        <w:t>введен</w:t>
      </w:r>
      <w:proofErr w:type="gramEnd"/>
      <w:r>
        <w:t xml:space="preserve"> </w:t>
      </w:r>
      <w:r w:rsidR="0039752C">
        <w:t>решением</w:t>
      </w:r>
      <w:r>
        <w:t xml:space="preserve"> Липецкого городского Совета депутатов от 29.11.2007 N 701, в ред. </w:t>
      </w:r>
      <w:r w:rsidR="0039752C">
        <w:t>решения</w:t>
      </w:r>
      <w:r>
        <w:t xml:space="preserve"> Липецкого городского Совета депутатов от 31.03.2009 N 1005)</w:t>
      </w:r>
    </w:p>
    <w:p w:rsidR="00295F00" w:rsidRDefault="00295F00">
      <w:pPr>
        <w:pStyle w:val="ConsPlusNormal"/>
        <w:spacing w:before="220"/>
        <w:ind w:firstLine="540"/>
        <w:jc w:val="both"/>
      </w:pPr>
      <w:r>
        <w:t>15)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питания;</w:t>
      </w:r>
    </w:p>
    <w:p w:rsidR="00295F00" w:rsidRDefault="00295F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15 в ред. </w:t>
      </w:r>
      <w:r w:rsidR="0039752C">
        <w:t>решения</w:t>
      </w:r>
      <w:r>
        <w:t xml:space="preserve"> Липецкого городского Совета депутатов от 31.03.2009 N 1005)</w:t>
      </w:r>
    </w:p>
    <w:p w:rsidR="00295F00" w:rsidRDefault="00295F00">
      <w:pPr>
        <w:pStyle w:val="ConsPlusNormal"/>
        <w:ind w:firstLine="540"/>
        <w:jc w:val="both"/>
      </w:pPr>
    </w:p>
    <w:p w:rsidR="00295F00" w:rsidRDefault="00295F00">
      <w:pPr>
        <w:pStyle w:val="ConsPlusNormal"/>
        <w:jc w:val="center"/>
        <w:outlineLvl w:val="1"/>
      </w:pPr>
      <w:r>
        <w:t>Пункт 3. Определение значения корректирующего</w:t>
      </w:r>
    </w:p>
    <w:p w:rsidR="00295F00" w:rsidRDefault="00295F00">
      <w:pPr>
        <w:pStyle w:val="ConsPlusNormal"/>
        <w:jc w:val="center"/>
      </w:pPr>
      <w:r>
        <w:t>коэффициента базовой доходности К</w:t>
      </w:r>
      <w:proofErr w:type="gramStart"/>
      <w:r>
        <w:t>2</w:t>
      </w:r>
      <w:proofErr w:type="gramEnd"/>
    </w:p>
    <w:p w:rsidR="00295F00" w:rsidRDefault="00295F00">
      <w:pPr>
        <w:pStyle w:val="ConsPlusNormal"/>
        <w:jc w:val="center"/>
      </w:pPr>
      <w:proofErr w:type="gramStart"/>
      <w:r>
        <w:t xml:space="preserve">(в ред. </w:t>
      </w:r>
      <w:r w:rsidR="0039752C">
        <w:t xml:space="preserve">Решения </w:t>
      </w:r>
      <w:r>
        <w:t>Липецкого городского Совета депутатов</w:t>
      </w:r>
      <w:proofErr w:type="gramEnd"/>
    </w:p>
    <w:p w:rsidR="00295F00" w:rsidRDefault="00295F00">
      <w:pPr>
        <w:pStyle w:val="ConsPlusNormal"/>
        <w:jc w:val="center"/>
      </w:pPr>
      <w:r>
        <w:lastRenderedPageBreak/>
        <w:t>от 28.11.2006 N 463)</w:t>
      </w:r>
    </w:p>
    <w:p w:rsidR="00295F00" w:rsidRDefault="00295F00">
      <w:pPr>
        <w:pStyle w:val="ConsPlusNormal"/>
        <w:ind w:firstLine="540"/>
        <w:jc w:val="both"/>
      </w:pPr>
    </w:p>
    <w:p w:rsidR="00295F00" w:rsidRDefault="00295F00">
      <w:pPr>
        <w:pStyle w:val="ConsPlusNormal"/>
        <w:ind w:firstLine="540"/>
        <w:jc w:val="both"/>
      </w:pPr>
      <w:r>
        <w:t>Величина базовой доходности корректируется на коэффициент К</w:t>
      </w:r>
      <w:proofErr w:type="gramStart"/>
      <w:r>
        <w:t>2</w:t>
      </w:r>
      <w:proofErr w:type="gramEnd"/>
      <w:r>
        <w:t>.</w:t>
      </w:r>
    </w:p>
    <w:p w:rsidR="00295F00" w:rsidRDefault="00295F00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t>2</w:t>
      </w:r>
      <w:proofErr w:type="gramEnd"/>
      <w:r>
        <w:t xml:space="preserve"> - корректирующий коэффициент базовой доходности, учитывающий совокупность особенностей ведения предпринимательской деятельности, в том числе ассортимент товаров (работ, услуг), сезонность, режим работы, величину доходов, особенности места ведения предпринимательской деятельности, площадь информационного поля электронных табло, площадь информационного поля наружной рекламы с любым способом нанесения изображения, площадь информационного поля наружной рекламы с автоматической сменой изображения, количество автобусов любых типов, трамваев, троллейбусов, легковых и грузовых автомобилей, прицепов, полуприцепов и прицепов-роспусков, речных судов, используемых для распространения и (или) размещения рекламы, и иные особенности.</w:t>
      </w:r>
    </w:p>
    <w:p w:rsidR="00295F00" w:rsidRDefault="00295F00">
      <w:pPr>
        <w:pStyle w:val="ConsPlusNormal"/>
        <w:jc w:val="both"/>
      </w:pPr>
      <w:r>
        <w:t xml:space="preserve">(в ред. </w:t>
      </w:r>
      <w:r w:rsidR="0039752C">
        <w:t>решения</w:t>
      </w:r>
      <w:r>
        <w:t xml:space="preserve"> Липецкого городского Совета депутатов от 29.11.2007 N 701)</w:t>
      </w:r>
    </w:p>
    <w:p w:rsidR="00295F00" w:rsidRDefault="00295F00">
      <w:pPr>
        <w:pStyle w:val="ConsPlusNormal"/>
        <w:spacing w:before="220"/>
        <w:ind w:firstLine="540"/>
        <w:jc w:val="both"/>
      </w:pPr>
      <w:r>
        <w:t>Значения корректирующего коэффициента К</w:t>
      </w:r>
      <w:proofErr w:type="gramStart"/>
      <w:r>
        <w:t>2</w:t>
      </w:r>
      <w:proofErr w:type="gramEnd"/>
      <w:r>
        <w:t xml:space="preserve"> определяются для всех категорий налогоплательщиков на календарный год в соответствии с </w:t>
      </w:r>
      <w:r w:rsidR="0039752C">
        <w:t>приложением №1</w:t>
      </w:r>
      <w:r>
        <w:t xml:space="preserve"> настоящего Положения.</w:t>
      </w:r>
    </w:p>
    <w:p w:rsidR="00295F00" w:rsidRDefault="00295F00">
      <w:pPr>
        <w:pStyle w:val="ConsPlusNormal"/>
        <w:ind w:firstLine="540"/>
        <w:jc w:val="both"/>
      </w:pPr>
    </w:p>
    <w:p w:rsidR="00295F00" w:rsidRDefault="00295F00">
      <w:pPr>
        <w:pStyle w:val="ConsPlusNormal"/>
        <w:jc w:val="center"/>
        <w:outlineLvl w:val="1"/>
      </w:pPr>
      <w:r>
        <w:t>Пункт 4. Заключительные положения</w:t>
      </w:r>
    </w:p>
    <w:p w:rsidR="00295F00" w:rsidRDefault="00295F00">
      <w:pPr>
        <w:pStyle w:val="ConsPlusNormal"/>
        <w:ind w:firstLine="540"/>
        <w:jc w:val="both"/>
      </w:pPr>
    </w:p>
    <w:p w:rsidR="00295F00" w:rsidRDefault="00295F00">
      <w:pPr>
        <w:pStyle w:val="ConsPlusNormal"/>
        <w:ind w:firstLine="540"/>
        <w:jc w:val="both"/>
      </w:pPr>
      <w:r>
        <w:t>Единый налог на вмененный доход для отдельных видов деятельности в городе Липецке вводится с 1 января 2006 года.</w:t>
      </w:r>
    </w:p>
    <w:p w:rsidR="00295F00" w:rsidRDefault="00295F00">
      <w:pPr>
        <w:pStyle w:val="ConsPlusNormal"/>
        <w:ind w:firstLine="540"/>
        <w:jc w:val="both"/>
      </w:pPr>
    </w:p>
    <w:p w:rsidR="00295F00" w:rsidRDefault="00295F00">
      <w:pPr>
        <w:pStyle w:val="ConsPlusNormal"/>
        <w:jc w:val="right"/>
      </w:pPr>
      <w:r>
        <w:t>Глава администрации</w:t>
      </w:r>
    </w:p>
    <w:p w:rsidR="00295F00" w:rsidRDefault="00295F00">
      <w:pPr>
        <w:pStyle w:val="ConsPlusNormal"/>
        <w:jc w:val="right"/>
      </w:pPr>
      <w:r>
        <w:t>города Липецка</w:t>
      </w:r>
    </w:p>
    <w:p w:rsidR="00295F00" w:rsidRDefault="00295F00">
      <w:pPr>
        <w:pStyle w:val="ConsPlusNormal"/>
        <w:jc w:val="right"/>
      </w:pPr>
      <w:proofErr w:type="spellStart"/>
      <w:r>
        <w:t>М.В.Г</w:t>
      </w:r>
      <w:r w:rsidR="000A3323">
        <w:t>улевский</w:t>
      </w:r>
      <w:proofErr w:type="spellEnd"/>
    </w:p>
    <w:p w:rsidR="00295F00" w:rsidRDefault="00295F00">
      <w:pPr>
        <w:pStyle w:val="ConsPlusNormal"/>
        <w:ind w:firstLine="540"/>
        <w:jc w:val="both"/>
      </w:pPr>
    </w:p>
    <w:p w:rsidR="00295F00" w:rsidRDefault="00295F00">
      <w:pPr>
        <w:pStyle w:val="ConsPlusNormal"/>
        <w:ind w:firstLine="540"/>
        <w:jc w:val="both"/>
      </w:pPr>
    </w:p>
    <w:p w:rsidR="00295F00" w:rsidRDefault="00295F00">
      <w:pPr>
        <w:pStyle w:val="ConsPlusNormal"/>
        <w:ind w:firstLine="540"/>
        <w:jc w:val="both"/>
      </w:pPr>
    </w:p>
    <w:p w:rsidR="00295F00" w:rsidRDefault="00295F00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0A3323" w:rsidRDefault="000A3323">
      <w:pPr>
        <w:pStyle w:val="ConsPlusNormal"/>
        <w:ind w:firstLine="540"/>
        <w:jc w:val="both"/>
      </w:pPr>
    </w:p>
    <w:p w:rsidR="00295F00" w:rsidRDefault="00295F00">
      <w:pPr>
        <w:pStyle w:val="ConsPlusNormal"/>
        <w:ind w:firstLine="540"/>
        <w:jc w:val="both"/>
      </w:pPr>
    </w:p>
    <w:p w:rsidR="00295F00" w:rsidRDefault="00295F00">
      <w:pPr>
        <w:pStyle w:val="ConsPlusNormal"/>
        <w:jc w:val="right"/>
        <w:outlineLvl w:val="1"/>
      </w:pPr>
      <w:r>
        <w:lastRenderedPageBreak/>
        <w:t>Приложение N 1</w:t>
      </w:r>
    </w:p>
    <w:p w:rsidR="00295F00" w:rsidRDefault="00295F00">
      <w:pPr>
        <w:pStyle w:val="ConsPlusNormal"/>
        <w:jc w:val="right"/>
      </w:pPr>
      <w:r>
        <w:t>к Положению</w:t>
      </w:r>
    </w:p>
    <w:p w:rsidR="00295F00" w:rsidRDefault="00295F00">
      <w:pPr>
        <w:pStyle w:val="ConsPlusNormal"/>
        <w:jc w:val="right"/>
      </w:pPr>
      <w:r>
        <w:t xml:space="preserve">о едином налоге на </w:t>
      </w:r>
      <w:proofErr w:type="gramStart"/>
      <w:r>
        <w:t>вмененный</w:t>
      </w:r>
      <w:proofErr w:type="gramEnd"/>
    </w:p>
    <w:p w:rsidR="00295F00" w:rsidRDefault="00295F00">
      <w:pPr>
        <w:pStyle w:val="ConsPlusNormal"/>
        <w:jc w:val="right"/>
      </w:pPr>
      <w:r>
        <w:t>доход для отдельных видов</w:t>
      </w:r>
    </w:p>
    <w:p w:rsidR="00295F00" w:rsidRDefault="00295F00">
      <w:pPr>
        <w:pStyle w:val="ConsPlusNormal"/>
        <w:jc w:val="right"/>
      </w:pPr>
      <w:r>
        <w:t>деятельности в городе Липецке</w:t>
      </w:r>
    </w:p>
    <w:p w:rsidR="00295F00" w:rsidRDefault="00295F00">
      <w:pPr>
        <w:spacing w:after="1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2970"/>
      </w:tblGrid>
      <w:tr w:rsidR="00295F00">
        <w:tc>
          <w:tcPr>
            <w:tcW w:w="6633" w:type="dxa"/>
          </w:tcPr>
          <w:p w:rsidR="00295F00" w:rsidRDefault="000A3323">
            <w:pPr>
              <w:pStyle w:val="ConsPlusNormal"/>
              <w:jc w:val="center"/>
            </w:pPr>
            <w:bookmarkStart w:id="1" w:name="P118"/>
            <w:bookmarkEnd w:id="1"/>
            <w:r>
              <w:t>В</w:t>
            </w:r>
            <w:r w:rsidR="00295F00">
              <w:t>иды предпринимательской деятельности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Значения корректирующего коэффициента К</w:t>
            </w:r>
            <w:proofErr w:type="gramStart"/>
            <w:r>
              <w:t>2</w:t>
            </w:r>
            <w:proofErr w:type="gramEnd"/>
            <w:r>
              <w:t xml:space="preserve"> для г. Липецка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2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Оказание бытовых услуг, в том числе: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Ремонт обуви и изделий из меха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0,350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Ремонт металлоизделий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0,680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Ремонт и пошив одежды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0,270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Ремонт часов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0,330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Ремонт и изготовление ювелирных изделий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0,750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Ремонт и обслуживание бытовой техники, компьютеров и оргтехники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0,460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Услуги прачечных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0,200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Услуги химчисток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0,300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 xml:space="preserve">Фотоуслуги, </w:t>
            </w:r>
            <w:proofErr w:type="spellStart"/>
            <w:r>
              <w:t>киноуслуги</w:t>
            </w:r>
            <w:proofErr w:type="spellEnd"/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0,600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Услуги бань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0,400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Услуги по чистке обуви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0,340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Оказание парикмахерских услуг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0,550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Ритуальные услуги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0,700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Ремонт и строительство жилья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0,700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Другие виды бытовых услуг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0,330</w:t>
            </w:r>
          </w:p>
        </w:tc>
      </w:tr>
      <w:tr w:rsidR="00295F00">
        <w:tc>
          <w:tcPr>
            <w:tcW w:w="6633" w:type="dxa"/>
          </w:tcPr>
          <w:p w:rsidR="00295F00" w:rsidRPr="000A3323" w:rsidRDefault="00295F00" w:rsidP="000A3323">
            <w:pPr>
              <w:pStyle w:val="ConsPlusNormal"/>
            </w:pPr>
            <w:r>
              <w:t xml:space="preserve">Розничная торговля, осуществляемая через объекты стационарной торговой сети, имеющей торговые залы </w:t>
            </w:r>
            <w:r w:rsidR="000A3323" w:rsidRPr="000A3323">
              <w:t>&lt;*&gt;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0,800</w:t>
            </w:r>
          </w:p>
        </w:tc>
      </w:tr>
      <w:tr w:rsidR="00295F00">
        <w:tc>
          <w:tcPr>
            <w:tcW w:w="6633" w:type="dxa"/>
          </w:tcPr>
          <w:p w:rsidR="00295F00" w:rsidRDefault="00295F00" w:rsidP="000A3323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кв. м</w:t>
            </w:r>
            <w:r w:rsidR="000A3323" w:rsidRPr="000A3323">
              <w:t xml:space="preserve"> &lt;*&gt;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0,700</w:t>
            </w:r>
          </w:p>
        </w:tc>
      </w:tr>
      <w:tr w:rsidR="00295F00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95F00" w:rsidRDefault="00295F00" w:rsidP="000A3323">
            <w:pPr>
              <w:pStyle w:val="ConsPlusNormal"/>
            </w:pPr>
            <w:r>
              <w:t xml:space="preserve"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кв. м </w:t>
            </w:r>
            <w:r w:rsidR="000A3323" w:rsidRPr="000A3323">
              <w:t>&lt;*&gt;</w:t>
            </w:r>
            <w:bookmarkStart w:id="2" w:name="_GoBack"/>
            <w:bookmarkEnd w:id="2"/>
            <w:r>
              <w:t>:</w:t>
            </w:r>
          </w:p>
        </w:tc>
        <w:tc>
          <w:tcPr>
            <w:tcW w:w="2970" w:type="dxa"/>
            <w:tcBorders>
              <w:bottom w:val="nil"/>
            </w:tcBorders>
          </w:tcPr>
          <w:p w:rsidR="00295F00" w:rsidRDefault="00295F00">
            <w:pPr>
              <w:pStyle w:val="ConsPlusNormal"/>
              <w:jc w:val="center"/>
            </w:pPr>
          </w:p>
        </w:tc>
      </w:tr>
      <w:tr w:rsidR="00295F00">
        <w:tblPrEx>
          <w:tblBorders>
            <w:insideH w:val="nil"/>
          </w:tblBorders>
        </w:tblPrEx>
        <w:tc>
          <w:tcPr>
            <w:tcW w:w="6633" w:type="dxa"/>
            <w:tcBorders>
              <w:top w:val="nil"/>
              <w:bottom w:val="nil"/>
            </w:tcBorders>
          </w:tcPr>
          <w:p w:rsidR="00295F00" w:rsidRDefault="00295F00">
            <w:pPr>
              <w:pStyle w:val="ConsPlusNormal"/>
            </w:pPr>
            <w:r>
              <w:lastRenderedPageBreak/>
              <w:t>- свыше 5 кв. м до 20 кв. м включительно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295F00" w:rsidRDefault="00295F00">
            <w:pPr>
              <w:pStyle w:val="ConsPlusNormal"/>
              <w:jc w:val="center"/>
            </w:pPr>
            <w:r>
              <w:t>0,700</w:t>
            </w:r>
          </w:p>
        </w:tc>
      </w:tr>
      <w:tr w:rsidR="00295F00">
        <w:tblPrEx>
          <w:tblBorders>
            <w:insideH w:val="nil"/>
          </w:tblBorders>
        </w:tblPrEx>
        <w:tc>
          <w:tcPr>
            <w:tcW w:w="6633" w:type="dxa"/>
            <w:tcBorders>
              <w:top w:val="nil"/>
              <w:bottom w:val="nil"/>
            </w:tcBorders>
          </w:tcPr>
          <w:p w:rsidR="00295F00" w:rsidRDefault="00295F00">
            <w:pPr>
              <w:pStyle w:val="ConsPlusNormal"/>
            </w:pPr>
            <w:r>
              <w:t>- свыше 20 кв. м до 40 кв. м включительно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295F00" w:rsidRDefault="00295F00">
            <w:pPr>
              <w:pStyle w:val="ConsPlusNormal"/>
              <w:jc w:val="center"/>
            </w:pPr>
            <w:r>
              <w:t>0,500</w:t>
            </w:r>
          </w:p>
        </w:tc>
      </w:tr>
      <w:tr w:rsidR="00295F00">
        <w:tblPrEx>
          <w:tblBorders>
            <w:insideH w:val="nil"/>
          </w:tblBorders>
        </w:tblPrEx>
        <w:tc>
          <w:tcPr>
            <w:tcW w:w="6633" w:type="dxa"/>
            <w:tcBorders>
              <w:top w:val="nil"/>
            </w:tcBorders>
          </w:tcPr>
          <w:p w:rsidR="00295F00" w:rsidRDefault="00295F00">
            <w:pPr>
              <w:pStyle w:val="ConsPlusNormal"/>
            </w:pPr>
            <w:r>
              <w:t>- свыше 40 кв. м</w:t>
            </w:r>
          </w:p>
        </w:tc>
        <w:tc>
          <w:tcPr>
            <w:tcW w:w="2970" w:type="dxa"/>
            <w:tcBorders>
              <w:top w:val="nil"/>
            </w:tcBorders>
          </w:tcPr>
          <w:p w:rsidR="00295F00" w:rsidRDefault="00295F00">
            <w:pPr>
              <w:pStyle w:val="ConsPlusNormal"/>
              <w:jc w:val="center"/>
            </w:pPr>
            <w:r>
              <w:t>0,300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Реализация товаров с использованием торговых автоматов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0,700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0,680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Разносная (развозная)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0,400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Оказание услуг общественного питания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0,680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Оказание ветеринарных услуг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0,500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Оказание услуг по ремонту, техническому обслуживанию</w:t>
            </w:r>
          </w:p>
          <w:p w:rsidR="00295F00" w:rsidRDefault="00295F00">
            <w:pPr>
              <w:pStyle w:val="ConsPlusNormal"/>
            </w:pPr>
            <w:r>
              <w:t>и мойке автотранспортных средств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0,720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0,700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Оказание автотранспортных услуг по перевозке грузов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0,650</w:t>
            </w:r>
          </w:p>
        </w:tc>
      </w:tr>
      <w:tr w:rsidR="00295F00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95F00" w:rsidRDefault="00295F00">
            <w:pPr>
              <w:pStyle w:val="ConsPlusNormal"/>
            </w:pPr>
            <w:r>
              <w:t>Оказание автотранспортных услуг по перевозке пассажиров транспортными средствами:</w:t>
            </w:r>
          </w:p>
        </w:tc>
        <w:tc>
          <w:tcPr>
            <w:tcW w:w="2970" w:type="dxa"/>
            <w:tcBorders>
              <w:bottom w:val="nil"/>
            </w:tcBorders>
          </w:tcPr>
          <w:p w:rsidR="00295F00" w:rsidRDefault="00295F00">
            <w:pPr>
              <w:pStyle w:val="ConsPlusNormal"/>
              <w:jc w:val="center"/>
            </w:pPr>
          </w:p>
        </w:tc>
      </w:tr>
      <w:tr w:rsidR="00295F00">
        <w:tblPrEx>
          <w:tblBorders>
            <w:insideH w:val="nil"/>
          </w:tblBorders>
        </w:tblPrEx>
        <w:tc>
          <w:tcPr>
            <w:tcW w:w="6633" w:type="dxa"/>
            <w:tcBorders>
              <w:top w:val="nil"/>
              <w:bottom w:val="nil"/>
            </w:tcBorders>
          </w:tcPr>
          <w:p w:rsidR="00295F00" w:rsidRDefault="00295F00">
            <w:pPr>
              <w:pStyle w:val="ConsPlusNormal"/>
            </w:pPr>
            <w:r>
              <w:t>- автотранспортные средства с количеством посадочных мест до 4 включительно (легковые автомобили)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295F00" w:rsidRDefault="00295F00">
            <w:pPr>
              <w:pStyle w:val="ConsPlusNormal"/>
              <w:jc w:val="center"/>
            </w:pPr>
            <w:r>
              <w:t>0,730</w:t>
            </w:r>
          </w:p>
        </w:tc>
      </w:tr>
      <w:tr w:rsidR="00295F00">
        <w:tblPrEx>
          <w:tblBorders>
            <w:insideH w:val="nil"/>
          </w:tblBorders>
        </w:tblPrEx>
        <w:tc>
          <w:tcPr>
            <w:tcW w:w="6633" w:type="dxa"/>
            <w:tcBorders>
              <w:top w:val="nil"/>
              <w:bottom w:val="nil"/>
            </w:tcBorders>
          </w:tcPr>
          <w:p w:rsidR="00295F00" w:rsidRDefault="00295F00">
            <w:pPr>
              <w:pStyle w:val="ConsPlusNormal"/>
            </w:pPr>
            <w:r>
              <w:t>- автотранспортные средства с количеством посадочных мест от 5 до 15 включительно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295F00" w:rsidRDefault="00295F00">
            <w:pPr>
              <w:pStyle w:val="ConsPlusNormal"/>
              <w:jc w:val="center"/>
            </w:pPr>
            <w:r>
              <w:t>0,400</w:t>
            </w:r>
          </w:p>
        </w:tc>
      </w:tr>
      <w:tr w:rsidR="00295F00">
        <w:tblPrEx>
          <w:tblBorders>
            <w:insideH w:val="nil"/>
          </w:tblBorders>
        </w:tblPrEx>
        <w:tc>
          <w:tcPr>
            <w:tcW w:w="6633" w:type="dxa"/>
            <w:tcBorders>
              <w:top w:val="nil"/>
              <w:bottom w:val="nil"/>
            </w:tcBorders>
          </w:tcPr>
          <w:p w:rsidR="00295F00" w:rsidRDefault="00295F00">
            <w:pPr>
              <w:pStyle w:val="ConsPlusNormal"/>
            </w:pPr>
            <w:r>
              <w:t>- автотранспортные средства с количеством посадочных мест свыше 15 до 23 включительно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295F00" w:rsidRDefault="00295F00">
            <w:pPr>
              <w:pStyle w:val="ConsPlusNormal"/>
              <w:jc w:val="center"/>
            </w:pPr>
            <w:r>
              <w:t>0,300</w:t>
            </w:r>
          </w:p>
        </w:tc>
      </w:tr>
      <w:tr w:rsidR="00295F00">
        <w:tblPrEx>
          <w:tblBorders>
            <w:insideH w:val="nil"/>
          </w:tblBorders>
        </w:tblPrEx>
        <w:tc>
          <w:tcPr>
            <w:tcW w:w="6633" w:type="dxa"/>
            <w:tcBorders>
              <w:top w:val="nil"/>
            </w:tcBorders>
          </w:tcPr>
          <w:p w:rsidR="00295F00" w:rsidRDefault="00295F00">
            <w:pPr>
              <w:pStyle w:val="ConsPlusNormal"/>
            </w:pPr>
            <w:r>
              <w:t>- автотранспортные средства с количеством посадочных мест свыше 23</w:t>
            </w:r>
          </w:p>
        </w:tc>
        <w:tc>
          <w:tcPr>
            <w:tcW w:w="2970" w:type="dxa"/>
            <w:tcBorders>
              <w:top w:val="nil"/>
            </w:tcBorders>
          </w:tcPr>
          <w:p w:rsidR="00295F00" w:rsidRDefault="00295F00">
            <w:pPr>
              <w:pStyle w:val="ConsPlusNormal"/>
              <w:jc w:val="center"/>
            </w:pPr>
            <w:r>
              <w:t>0,200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0,120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0,120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Распространение наружной рекламы посредством электронных табло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0,300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Размещение рекламы на транспортных средствах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0,120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lastRenderedPageBreak/>
              <w:t>Оказание услуг по временному размещению и проживанию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0,700</w:t>
            </w:r>
          </w:p>
        </w:tc>
      </w:tr>
      <w:tr w:rsidR="00295F00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95F00" w:rsidRDefault="00295F00">
            <w:pPr>
              <w:pStyle w:val="ConsPlusNormal"/>
            </w:pPr>
            <w: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2970" w:type="dxa"/>
            <w:tcBorders>
              <w:bottom w:val="nil"/>
            </w:tcBorders>
          </w:tcPr>
          <w:p w:rsidR="00295F00" w:rsidRDefault="00295F00">
            <w:pPr>
              <w:pStyle w:val="ConsPlusNormal"/>
              <w:jc w:val="center"/>
            </w:pPr>
            <w:r>
              <w:t>1,0</w:t>
            </w:r>
          </w:p>
        </w:tc>
      </w:tr>
      <w:tr w:rsidR="00295F00">
        <w:tblPrEx>
          <w:tblBorders>
            <w:insideH w:val="nil"/>
          </w:tblBorders>
        </w:tblPrEx>
        <w:tc>
          <w:tcPr>
            <w:tcW w:w="6633" w:type="dxa"/>
            <w:tcBorders>
              <w:top w:val="nil"/>
            </w:tcBorders>
          </w:tcPr>
          <w:p w:rsidR="00295F00" w:rsidRDefault="00295F00">
            <w:pPr>
              <w:pStyle w:val="ConsPlusNormal"/>
            </w:pPr>
            <w:r>
              <w:t>- физическим лицам, не являющимся индивидуальными предпринимателями</w:t>
            </w:r>
          </w:p>
        </w:tc>
        <w:tc>
          <w:tcPr>
            <w:tcW w:w="2970" w:type="dxa"/>
            <w:tcBorders>
              <w:top w:val="nil"/>
            </w:tcBorders>
          </w:tcPr>
          <w:p w:rsidR="00295F00" w:rsidRDefault="00295F00">
            <w:pPr>
              <w:pStyle w:val="ConsPlusNormal"/>
              <w:jc w:val="center"/>
            </w:pPr>
            <w:r>
              <w:t>0,499</w:t>
            </w:r>
          </w:p>
        </w:tc>
      </w:tr>
      <w:tr w:rsidR="00295F00">
        <w:tblPrEx>
          <w:tblBorders>
            <w:insideH w:val="nil"/>
          </w:tblBorders>
        </w:tblPrEx>
        <w:tc>
          <w:tcPr>
            <w:tcW w:w="6633" w:type="dxa"/>
            <w:tcBorders>
              <w:bottom w:val="nil"/>
            </w:tcBorders>
          </w:tcPr>
          <w:p w:rsidR="00295F00" w:rsidRDefault="00295F00">
            <w:pPr>
              <w:pStyle w:val="ConsPlusNormal"/>
            </w:pPr>
            <w: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кв. м:</w:t>
            </w:r>
          </w:p>
        </w:tc>
        <w:tc>
          <w:tcPr>
            <w:tcW w:w="2970" w:type="dxa"/>
            <w:tcBorders>
              <w:bottom w:val="nil"/>
            </w:tcBorders>
          </w:tcPr>
          <w:p w:rsidR="00295F00" w:rsidRDefault="00295F00">
            <w:pPr>
              <w:pStyle w:val="ConsPlusNormal"/>
              <w:jc w:val="center"/>
            </w:pPr>
          </w:p>
        </w:tc>
      </w:tr>
      <w:tr w:rsidR="00295F00">
        <w:tblPrEx>
          <w:tblBorders>
            <w:insideH w:val="nil"/>
          </w:tblBorders>
        </w:tblPrEx>
        <w:tc>
          <w:tcPr>
            <w:tcW w:w="6633" w:type="dxa"/>
            <w:tcBorders>
              <w:top w:val="nil"/>
              <w:bottom w:val="nil"/>
            </w:tcBorders>
          </w:tcPr>
          <w:p w:rsidR="00295F00" w:rsidRDefault="00295F00">
            <w:pPr>
              <w:pStyle w:val="ConsPlusNormal"/>
            </w:pPr>
            <w:r>
              <w:t>- свыше 5 кв. м до 20 кв. м включительно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295F00" w:rsidRDefault="00295F00">
            <w:pPr>
              <w:pStyle w:val="ConsPlusNormal"/>
              <w:jc w:val="center"/>
            </w:pPr>
            <w:r>
              <w:t>0,650</w:t>
            </w:r>
          </w:p>
        </w:tc>
      </w:tr>
      <w:tr w:rsidR="00295F00">
        <w:tblPrEx>
          <w:tblBorders>
            <w:insideH w:val="nil"/>
          </w:tblBorders>
        </w:tblPrEx>
        <w:tc>
          <w:tcPr>
            <w:tcW w:w="6633" w:type="dxa"/>
            <w:tcBorders>
              <w:top w:val="nil"/>
              <w:bottom w:val="nil"/>
            </w:tcBorders>
          </w:tcPr>
          <w:p w:rsidR="00295F00" w:rsidRDefault="00295F00">
            <w:pPr>
              <w:pStyle w:val="ConsPlusNormal"/>
            </w:pPr>
            <w:r>
              <w:t>- свыше 20 кв. м до 40 кв. м включительно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295F00" w:rsidRDefault="00295F00">
            <w:pPr>
              <w:pStyle w:val="ConsPlusNormal"/>
              <w:jc w:val="center"/>
            </w:pPr>
            <w:r>
              <w:t>0,350</w:t>
            </w:r>
          </w:p>
        </w:tc>
      </w:tr>
      <w:tr w:rsidR="00295F00">
        <w:tblPrEx>
          <w:tblBorders>
            <w:insideH w:val="nil"/>
          </w:tblBorders>
        </w:tblPrEx>
        <w:tc>
          <w:tcPr>
            <w:tcW w:w="6633" w:type="dxa"/>
            <w:tcBorders>
              <w:top w:val="nil"/>
            </w:tcBorders>
          </w:tcPr>
          <w:p w:rsidR="00295F00" w:rsidRDefault="00295F00">
            <w:pPr>
              <w:pStyle w:val="ConsPlusNormal"/>
            </w:pPr>
            <w:r>
              <w:t>- свыше 40 кв. м</w:t>
            </w:r>
          </w:p>
        </w:tc>
        <w:tc>
          <w:tcPr>
            <w:tcW w:w="2970" w:type="dxa"/>
            <w:tcBorders>
              <w:top w:val="nil"/>
            </w:tcBorders>
          </w:tcPr>
          <w:p w:rsidR="00295F00" w:rsidRDefault="00295F00">
            <w:pPr>
              <w:pStyle w:val="ConsPlusNormal"/>
              <w:jc w:val="center"/>
            </w:pPr>
            <w:r>
              <w:t>0,200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Оказание услуг по передаче во временное владение и (или) в пользование земельных участков площадью, не превышающей 10 кв. м,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0,700</w:t>
            </w:r>
          </w:p>
        </w:tc>
      </w:tr>
      <w:tr w:rsidR="00295F00">
        <w:tc>
          <w:tcPr>
            <w:tcW w:w="6633" w:type="dxa"/>
          </w:tcPr>
          <w:p w:rsidR="00295F00" w:rsidRDefault="00295F00">
            <w:pPr>
              <w:pStyle w:val="ConsPlusNormal"/>
            </w:pPr>
            <w:r>
              <w:t>Оказание услуг по передаче во временное владение и (или) в пользование земельных участков площадью, превышающей 10 кв. м,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2970" w:type="dxa"/>
          </w:tcPr>
          <w:p w:rsidR="00295F00" w:rsidRDefault="00295F00">
            <w:pPr>
              <w:pStyle w:val="ConsPlusNormal"/>
              <w:jc w:val="center"/>
            </w:pPr>
            <w:r>
              <w:t>0,700</w:t>
            </w:r>
          </w:p>
        </w:tc>
      </w:tr>
    </w:tbl>
    <w:p w:rsidR="00295F00" w:rsidRDefault="00295F00">
      <w:pPr>
        <w:pStyle w:val="ConsPlusNormal"/>
        <w:ind w:firstLine="540"/>
        <w:jc w:val="both"/>
      </w:pPr>
    </w:p>
    <w:p w:rsidR="00295F00" w:rsidRDefault="00295F00">
      <w:pPr>
        <w:pStyle w:val="ConsPlusNormal"/>
        <w:ind w:firstLine="540"/>
        <w:jc w:val="both"/>
      </w:pPr>
      <w:r>
        <w:t>--------------------------------</w:t>
      </w:r>
    </w:p>
    <w:p w:rsidR="00295F00" w:rsidRDefault="00295F00">
      <w:pPr>
        <w:pStyle w:val="ConsPlusNormal"/>
        <w:spacing w:before="220"/>
        <w:ind w:firstLine="540"/>
        <w:jc w:val="both"/>
      </w:pPr>
      <w:bookmarkStart w:id="3" w:name="P221"/>
      <w:bookmarkEnd w:id="3"/>
      <w:r>
        <w:t>&lt;*&gt; Для данного вида деятельности применяется корректирующий коэффициент К</w:t>
      </w:r>
      <w:proofErr w:type="gramStart"/>
      <w:r>
        <w:t>2</w:t>
      </w:r>
      <w:proofErr w:type="gramEnd"/>
      <w:r>
        <w:t>, уменьшенный на 70%, для следующих районов г. Липецка:</w:t>
      </w:r>
    </w:p>
    <w:p w:rsidR="00295F00" w:rsidRDefault="00295F00">
      <w:pPr>
        <w:pStyle w:val="ConsPlusNormal"/>
        <w:spacing w:before="220"/>
        <w:ind w:firstLine="540"/>
        <w:jc w:val="both"/>
      </w:pPr>
      <w:proofErr w:type="gramStart"/>
      <w:r>
        <w:t>- село Желтые Пески (улица Буденного, улица Космонавтов, улица Ленина, улица Сиреневая, улица Луговая, улица Полевая, улица Рождественская, улица Советская);</w:t>
      </w:r>
      <w:proofErr w:type="gramEnd"/>
    </w:p>
    <w:p w:rsidR="00295F00" w:rsidRDefault="00295F00">
      <w:pPr>
        <w:pStyle w:val="ConsPlusNormal"/>
        <w:spacing w:before="220"/>
        <w:ind w:firstLine="540"/>
        <w:jc w:val="both"/>
      </w:pPr>
      <w:proofErr w:type="gramStart"/>
      <w:r>
        <w:t xml:space="preserve">- село </w:t>
      </w:r>
      <w:proofErr w:type="spellStart"/>
      <w:r>
        <w:t>Сселки</w:t>
      </w:r>
      <w:proofErr w:type="spellEnd"/>
      <w:r>
        <w:t xml:space="preserve"> (улица Адмирала Апраксина, улица Мартынова А., переулок Благодатный, улица Братьев Сенявиных, улица </w:t>
      </w:r>
      <w:proofErr w:type="spellStart"/>
      <w:r>
        <w:t>Барковского</w:t>
      </w:r>
      <w:proofErr w:type="spellEnd"/>
      <w:r>
        <w:t xml:space="preserve"> В., улица Высоцкого В., улица Гагарина, улица Жемчужная, улица Заповедная, улица Знаменская, улица Кирова, улица Кольцова М., улица Комарова, улица Космонавтов, улица Краеведческая, переулок </w:t>
      </w:r>
      <w:proofErr w:type="spellStart"/>
      <w:r>
        <w:t>Краснозоренский</w:t>
      </w:r>
      <w:proofErr w:type="spellEnd"/>
      <w:r>
        <w:t xml:space="preserve">, переулок Лазурный, улица Ленина, улица Лесная, улица Листопадная, улица </w:t>
      </w:r>
      <w:proofErr w:type="spellStart"/>
      <w:r>
        <w:t>Мазурука</w:t>
      </w:r>
      <w:proofErr w:type="spellEnd"/>
      <w:r>
        <w:t xml:space="preserve"> И., улица Набережная, переулок Новогодний, улица 1 Мая, улица Покровская</w:t>
      </w:r>
      <w:proofErr w:type="gramEnd"/>
      <w:r>
        <w:t xml:space="preserve">, </w:t>
      </w:r>
      <w:proofErr w:type="gramStart"/>
      <w:r>
        <w:t xml:space="preserve">переулок Поэтический, улица Провинциальная, улица Пушкина, улица Ракитная, улица Сибирская, переулок Сказочный, улица Советская, улица </w:t>
      </w:r>
      <w:proofErr w:type="spellStart"/>
      <w:r>
        <w:t>Сокольская</w:t>
      </w:r>
      <w:proofErr w:type="spellEnd"/>
      <w:r>
        <w:t>, улица 300-летия флота России, улица Учительская, улица Хрустальная, улица Цветаевой М.);</w:t>
      </w:r>
      <w:proofErr w:type="gramEnd"/>
    </w:p>
    <w:p w:rsidR="00295F00" w:rsidRDefault="00295F00">
      <w:pPr>
        <w:pStyle w:val="ConsPlusNormal"/>
        <w:spacing w:before="220"/>
        <w:ind w:firstLine="540"/>
        <w:jc w:val="both"/>
      </w:pPr>
      <w:r>
        <w:lastRenderedPageBreak/>
        <w:t xml:space="preserve">- поселок Северный Рудник (улица Северный Рудник, улица Сельская, улица </w:t>
      </w:r>
      <w:proofErr w:type="spellStart"/>
      <w:r>
        <w:t>Кузьминская</w:t>
      </w:r>
      <w:proofErr w:type="spellEnd"/>
      <w:r>
        <w:t>);</w:t>
      </w:r>
    </w:p>
    <w:p w:rsidR="00295F00" w:rsidRDefault="00295F00">
      <w:pPr>
        <w:pStyle w:val="ConsPlusNormal"/>
        <w:spacing w:before="220"/>
        <w:ind w:firstLine="540"/>
        <w:jc w:val="both"/>
      </w:pPr>
      <w:proofErr w:type="gramStart"/>
      <w:r>
        <w:t>- поселок 10-я Шахта (улица Винницкая, улица Задорожная, улица Муравьева, улица Одоевского, улица Харьковская, улица Рыбалко, улица Садовая, улица Шахтерская, улица Подсобное хозяйство);</w:t>
      </w:r>
      <w:proofErr w:type="gramEnd"/>
    </w:p>
    <w:p w:rsidR="00295F00" w:rsidRDefault="00295F00">
      <w:pPr>
        <w:pStyle w:val="ConsPlusNormal"/>
        <w:spacing w:before="220"/>
        <w:ind w:firstLine="540"/>
        <w:jc w:val="both"/>
      </w:pPr>
      <w:r>
        <w:t xml:space="preserve">- район ЛТЗ - Заречье (улица Тюленина, улица Любы Шевцовой, улица Полетаева, переулок Брянский, переулок Витебский, переулок </w:t>
      </w:r>
      <w:proofErr w:type="spellStart"/>
      <w:r>
        <w:t>Данковский</w:t>
      </w:r>
      <w:proofErr w:type="spellEnd"/>
      <w:r>
        <w:t xml:space="preserve">, переулок Львовский, переулок </w:t>
      </w:r>
      <w:proofErr w:type="spellStart"/>
      <w:r>
        <w:t>Боринский</w:t>
      </w:r>
      <w:proofErr w:type="spellEnd"/>
      <w:r>
        <w:t>, переулок Черниговский, переулок Хвойный).</w:t>
      </w:r>
    </w:p>
    <w:p w:rsidR="00295F00" w:rsidRDefault="00295F00">
      <w:pPr>
        <w:pStyle w:val="ConsPlusNormal"/>
        <w:ind w:firstLine="540"/>
        <w:jc w:val="both"/>
      </w:pPr>
    </w:p>
    <w:p w:rsidR="00295F00" w:rsidRDefault="00295F00">
      <w:pPr>
        <w:pStyle w:val="ConsPlusNormal"/>
        <w:ind w:firstLine="540"/>
        <w:jc w:val="both"/>
      </w:pPr>
    </w:p>
    <w:p w:rsidR="00295F00" w:rsidRDefault="00295F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3194" w:rsidRDefault="00413194"/>
    <w:sectPr w:rsidR="00413194" w:rsidSect="000A3323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00"/>
    <w:rsid w:val="000A3323"/>
    <w:rsid w:val="00295F00"/>
    <w:rsid w:val="0039752C"/>
    <w:rsid w:val="0041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5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5F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5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5F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Покачалова Анна Александровна</dc:creator>
  <cp:lastModifiedBy>admin</cp:lastModifiedBy>
  <cp:revision>2</cp:revision>
  <dcterms:created xsi:type="dcterms:W3CDTF">2019-06-27T08:19:00Z</dcterms:created>
  <dcterms:modified xsi:type="dcterms:W3CDTF">2019-06-27T08:19:00Z</dcterms:modified>
</cp:coreProperties>
</file>